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(台北)防火管理人複訓[日間]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115年8月25日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防火管理人複訓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2000</w:t>
            </w:r>
            <w:r>
              <w:rPr>
                <w:rFonts w:ascii="微軟正黑體" w:eastAsia="微軟正黑體" w:hAnsi="微軟正黑體" w:hint="eastAsia"/>
              </w:rPr>
              <w:t xml:space="preserve"> </w:t>
            </w:r>
            <w:r w:rsidRPr="00A24698">
              <w:rPr>
                <w:rFonts w:ascii="微軟正黑體" w:eastAsia="微軟正黑體" w:hAnsi="微軟正黑體"/>
                <w:color w:val="FF0000"/>
              </w:rPr>
              <w:t> ( 即日起完成報名並繳費完成者， 優惠價1500元)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115年8月25日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即日起完成報名並繳費完成者， 優惠價1500元</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依《防火管理人訓練專業機構登錄及管理辦法》第三條規定：「取得防火管理人資格者，應自初訓結束之日起，每三年至少接受複訓一次。」</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◆※因每班人數33為限，本會將以報名相關文件繳交齊全及完成繳費者為優先排入。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須具備防火管理人初訓證書</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一吋半身脫帽照片(光面紙)乙式1張。2. 身分證正、反面影印本。3. 防火管理人初訓結業證書影本。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莊依婷　(02)2321-1518 分機:27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