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(嘉義)營造業業務主管在職訓練(回訓)[夜間]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(原證書於嘉義職訓中心結業者優惠價:800元(未稅))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 第十七條之一。
雇主對擔任職業安全衛生業務主管之勞工，應使其接受每 2 年至少 6 小時之安全衛生在職教育訓練。
課程大綱：
1.職業安全衛生法規講解 
2.營造業職業災害案例討論 
3.營造業職業病預防概論 
4.其他營造業職業安全衛生相關知識
課程對象：
1.98年1月8日前具勞工安全管理師、勞工衛生管理師、勞工安全衛生管理員資格，且有一年以上營造工作經歷證明者【須提供技術士證影本（核發日期為98年1月8日前）及工作經歷證明文件影本】
2.98年1月8日前經勞工安全管理師、勞工衛生管理師、勞工安全衛生管理員、(甲乙丙種)勞工安全衛生業務主管訓練合格領有結業證書，且有一年以上營造工作經歷證明者【須提供結業證書影本（98年1月8日前結業）及工作經歷證明文件影本】
3.經營造業(甲乙丙種)勞工(職業)安全衛生業務主管訓練合格領有結業證書者。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