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2400</w:t>
            </w:r>
            <w:r>
              <w:rPr>
                <w:rFonts w:ascii="微軟正黑體" w:eastAsia="微軟正黑體" w:hAnsi="微軟正黑體" w:hint="eastAsia"/>
              </w:rPr>
              <w:t xml:space="preserve"> </w:t>
            </w:r>
            <w:r w:rsidRPr="00A24698">
              <w:rPr>
                <w:rFonts w:ascii="微軟正黑體" w:eastAsia="微軟正黑體" w:hAnsi="微軟正黑體"/>
                <w:color w:val="FF0000"/>
              </w:rPr>
              <w:t> (於7/21繳費享早鳥優惠2160元；報名截止日至：7/22下午15點前)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※請學員於開課當天攜帶下列證件：1、具有管理師、管理員資格者等任一訓練之結業證書/技術士證正本1份2、身分證正、反面影本1份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劉芝瑛　(04)2265-4040 分機:12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