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115年8月17日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115年8月17日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依「職業安全衛生教育訓練規則」第16條規定，雇主對新僱勞工或在職勞工於變更工作前， 應使其接受適於各該工作必要之一般安全衛生教育訓練。爰雇主依該規定辦理營造作業6小時一般安全衛生教育訓練， 即符合該規定，職安署為免於重複訓練資源之浪費，特辦理臺灣職安卡，對於從事營造作業勞工於取得臺灣職安卡後， 亦可認定為符合該規定。
「未持臺灣職安卡不得進入營建工地」，職安署說明如下： 本制度係配合《職業安全衛生法》及相關子法修正推動，預計自115年7月1日施行，旨在強化營造作業勞工進場前之基本安全衛生教育訓練。惟考量事業單位落實上述規定尚需適應期，制度施行後將規劃為期1年之緩衝期。
116年7月1日起，進入營繕工程工作場所作業人員，應接受勞動部指定之營造作業安全訓練（即「臺灣職安卡」）。以往曾接受「營造作業人員一般安全衛生教育訓練」者 （即俗稱「小綠卡」），亦應重新取得「臺灣職安卡」。建議勞工朋友可直接參加「臺灣職安卡」訓練課程。。</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身分證影本正反面一份，(職安卡課程無須相片)</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