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0.0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6小時-1200元，12小時-2400元</w:t>
            </w:r>
            <w:r>
              <w:rPr>
                <w:rFonts w:ascii="微軟正黑體" w:eastAsia="微軟正黑體" w:hAnsi="微軟正黑體" w:hint="eastAsia"/>
              </w:rPr>
              <w:t xml:space="preserve"> </w:t>
            </w:r>
            <w:r w:rsidRPr="00A24698">
              <w:rPr>
                <w:rFonts w:ascii="微軟正黑體" w:eastAsia="微軟正黑體" w:hAnsi="微軟正黑體"/>
                <w:color w:val="FF0000"/>
              </w:rPr>
              <w:t> (於12/22前繳費享早鳥優惠，6hr-1080元，12hr-2160元；報名截止日至：12/23下午15點前)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※請學員於開課當天攜帶下列證件：1、甲/乙/丙種職業安全衛生業務主管結業證書；管理師、管理員資格者結業證書/技術士證(核對證號)2、身分證正本(以備查核)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