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(高雄)(營造)營造丙種業務主管[日間]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(營造)營造丙種業務主管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w:t>
            </w:r>
            <w:r>
              <w:rPr>
                <w:rFonts w:ascii="微軟正黑體" w:eastAsia="微軟正黑體" w:hAnsi="微軟正黑體" w:hint="eastAsia"/>
              </w:rPr>
              <w:t xml:space="preserve"> </w:t>
            </w:r>
            <w:r w:rsidRPr="00A24698">
              <w:rPr>
                <w:rFonts w:ascii="微軟正黑體" w:eastAsia="微軟正黑體" w:hAnsi="微軟正黑體"/>
                <w:color w:val="FF0000"/>
              </w:rPr>
              <w:t> (三人以上同行優惠價九折計)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連續4天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※依職安署規定自106年01月01日起，本訓練課程結束後，測驗統一改為由電腦基金會以電腦測驗方式辦理。　　
(參加電腦基金會舉辦電腦測驗則需滿16歲)-本高雄職訓中心辦理.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相片4張(1吋)、身分證正、反面影本2份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