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(高雄)職業安全衛生管理員[假日]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115.0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11000</w:t>
            </w:r>
            <w:r>
              <w:rPr>
                <w:rFonts w:ascii="微軟正黑體" w:eastAsia="微軟正黑體" w:hAnsi="微軟正黑體" w:hint="eastAsia"/>
              </w:rPr>
              <w:t xml:space="preserve"> </w:t>
            </w:r>
            <w:r w:rsidRPr="00A24698">
              <w:rPr>
                <w:rFonts w:ascii="微軟正黑體" w:eastAsia="微軟正黑體" w:hAnsi="微軟正黑體"/>
                <w:color w:val="FF0000"/>
              </w:rPr>
              <w:t> (三人以上團體價九折計)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每週六、日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期滿合格者頒發「期滿證明」並 依本訓練證明及其他相關文件，得報考職安署電腦基金會電腦報測合格者可取得甲種職業業務主管結業證書或報考勞動部舉辦之技術士技能檢定而取得職安管理員乙級技士術證照。</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高中職以上畢業（持國外學歷者，應檢具經駐外單位、外交部授權機構或法院認證之中譯本。）</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(含考試)一吋相片4張.身份證影本二份高中職以上畢業證書影本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