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依據「職業安全衛生管理辦法」之規定，平時僱用勞工人數在一百人以上之事業單位，應設職業安全衛生管理單位，平時僱用勞工人數在三十人以上未達一百人者，應選任職業安全衛生管理員。
雇主如未對勞工應施以從事工作及預防災變所必要之安全衛生教育、訓練，經通知限期改善而不如期改善，罰處新臺幣三萬元以上六萬元以下罰鍰。
本課程屬乙級技術士之訓練課程，結訓後憑該期滿證明、高中職以上畢業證書及1年以上工作經歷證明即可報考乙級技術士。</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2.一吋照片3張 3.高中職以上畢業證書影本1份**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